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C4" w:rsidRDefault="00AD591B" w:rsidP="00AD591B">
      <w:pPr>
        <w:jc w:val="both"/>
      </w:pPr>
      <w:r>
        <w:t xml:space="preserve">Manajemen Perseroan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meliputi</w:t>
      </w:r>
      <w:proofErr w:type="spellEnd"/>
      <w:r>
        <w:t xml:space="preserve"> (i)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Perseroan; (ii)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permodalan</w:t>
      </w:r>
      <w:proofErr w:type="spellEnd"/>
      <w:r>
        <w:t xml:space="preserve"> Perseroan; (iii) target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modal di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; (iv)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(v)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Perseroan di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>.</w:t>
      </w:r>
    </w:p>
    <w:p w:rsidR="00AD591B" w:rsidRDefault="00AD591B" w:rsidP="00AD591B">
      <w:pPr>
        <w:jc w:val="both"/>
      </w:pPr>
      <w:proofErr w:type="spellStart"/>
      <w:proofErr w:type="gramStart"/>
      <w:r>
        <w:t>Direksi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sewaktu-waktu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RUPS.</w:t>
      </w:r>
      <w:proofErr w:type="gramEnd"/>
    </w:p>
    <w:p w:rsidR="00AD591B" w:rsidRDefault="00AD591B" w:rsidP="00AD591B">
      <w:pPr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Perseroan:</w:t>
      </w:r>
    </w:p>
    <w:p w:rsidR="00AD591B" w:rsidRDefault="00E80527" w:rsidP="00AD591B">
      <w:pPr>
        <w:jc w:val="both"/>
      </w:pPr>
      <w:r w:rsidRPr="00E80527">
        <w:drawing>
          <wp:inline distT="0" distB="0" distL="0" distR="0">
            <wp:extent cx="5854890" cy="2572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10" cy="25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C"/>
    <w:rsid w:val="009201EC"/>
    <w:rsid w:val="00AD591B"/>
    <w:rsid w:val="00BD02C4"/>
    <w:rsid w:val="00E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Stepanus</dc:creator>
  <cp:lastModifiedBy>Stepanus</cp:lastModifiedBy>
  <cp:revision>3</cp:revision>
  <dcterms:created xsi:type="dcterms:W3CDTF">2020-01-14T02:39:00Z</dcterms:created>
  <dcterms:modified xsi:type="dcterms:W3CDTF">2020-01-16T08:43:00Z</dcterms:modified>
</cp:coreProperties>
</file>